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76E" w:rsidRDefault="0078476E" w:rsidP="001B2988">
      <w:pPr>
        <w:tabs>
          <w:tab w:val="center" w:pos="4819"/>
          <w:tab w:val="right" w:pos="9638"/>
        </w:tabs>
        <w:jc w:val="center"/>
      </w:pPr>
    </w:p>
    <w:p w:rsidR="0078476E" w:rsidRDefault="001B2988">
      <w:pPr>
        <w:keepNext/>
        <w:jc w:val="center"/>
        <w:rPr>
          <w:b/>
          <w:caps/>
        </w:rPr>
      </w:pPr>
      <w:r>
        <w:rPr>
          <w:b/>
          <w:noProof/>
          <w:szCs w:val="24"/>
          <w:lang w:eastAsia="lt-LT"/>
        </w:rPr>
        <w:drawing>
          <wp:inline distT="0" distB="0" distL="0" distR="0" wp14:anchorId="7527E517" wp14:editId="168C8EBB">
            <wp:extent cx="847725" cy="865505"/>
            <wp:effectExtent l="0" t="0" r="9525" b="0"/>
            <wp:docPr id="17137064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rsidR="0078476E" w:rsidRDefault="001B2988">
      <w:pPr>
        <w:keepNext/>
        <w:jc w:val="center"/>
        <w:rPr>
          <w:b/>
          <w:caps/>
        </w:rPr>
      </w:pPr>
      <w:r>
        <w:rPr>
          <w:b/>
          <w:caps/>
        </w:rPr>
        <w:t>Šiaulių miesto savivaldybės taryba</w:t>
      </w:r>
    </w:p>
    <w:p w:rsidR="0078476E" w:rsidRDefault="0078476E">
      <w:pPr>
        <w:jc w:val="center"/>
        <w:rPr>
          <w:b/>
          <w:caps/>
          <w:szCs w:val="24"/>
        </w:rPr>
      </w:pPr>
    </w:p>
    <w:p w:rsidR="0078476E" w:rsidRDefault="001B2988">
      <w:pPr>
        <w:widowControl w:val="0"/>
        <w:suppressAutoHyphens/>
        <w:jc w:val="center"/>
        <w:rPr>
          <w:rFonts w:eastAsia="Lucida Sans Unicode"/>
          <w:b/>
          <w:bCs/>
          <w:kern w:val="1"/>
          <w:szCs w:val="24"/>
          <w:lang w:eastAsia="lt-LT"/>
        </w:rPr>
      </w:pPr>
      <w:r>
        <w:rPr>
          <w:rFonts w:eastAsia="Lucida Sans Unicode"/>
          <w:b/>
          <w:bCs/>
          <w:kern w:val="1"/>
          <w:szCs w:val="24"/>
          <w:lang w:eastAsia="lt-LT"/>
        </w:rPr>
        <w:t>SPRENDIMAS</w:t>
      </w:r>
    </w:p>
    <w:p w:rsidR="0078476E" w:rsidRDefault="001B2988">
      <w:pPr>
        <w:widowControl w:val="0"/>
        <w:suppressAutoHyphens/>
        <w:jc w:val="center"/>
        <w:rPr>
          <w:rFonts w:eastAsia="Lucida Sans Unicode"/>
          <w:b/>
          <w:bCs/>
          <w:kern w:val="1"/>
          <w:szCs w:val="24"/>
          <w:lang w:eastAsia="lt-LT"/>
        </w:rPr>
      </w:pPr>
      <w:r>
        <w:rPr>
          <w:b/>
          <w:bCs/>
          <w:szCs w:val="24"/>
        </w:rPr>
        <w:t>DĖL ŠIAULIŲ MIESTO SAVIVALDYBĖS NEFORMALIOJO SUAUGUSIŲJŲ ŠVIETIMO IR TĘSTINIO MOKYMOSI PROGRAMŲ, FINANSUOJAMŲ SAVIVALDYBĖS BIUDŽETO LĖŠOMIS, FINANSAVIMO IR ATRANKOS TVARKOS APRAŠO PATVIRTINIMO</w:t>
      </w:r>
      <w:r>
        <w:rPr>
          <w:rFonts w:eastAsia="Calibri"/>
          <w:b/>
          <w:szCs w:val="24"/>
        </w:rPr>
        <w:t xml:space="preserve"> </w:t>
      </w:r>
    </w:p>
    <w:p w:rsidR="0078476E" w:rsidRDefault="0078476E">
      <w:pPr>
        <w:widowControl w:val="0"/>
        <w:suppressAutoHyphens/>
        <w:jc w:val="center"/>
        <w:rPr>
          <w:rFonts w:eastAsia="Lucida Sans Unicode"/>
          <w:kern w:val="1"/>
          <w:szCs w:val="24"/>
          <w:lang w:eastAsia="lt-LT"/>
        </w:rPr>
      </w:pPr>
    </w:p>
    <w:p w:rsidR="0078476E" w:rsidRDefault="001B2988">
      <w:pPr>
        <w:widowControl w:val="0"/>
        <w:suppressAutoHyphens/>
        <w:jc w:val="center"/>
        <w:rPr>
          <w:rFonts w:eastAsia="Lucida Sans Unicode"/>
          <w:kern w:val="1"/>
          <w:szCs w:val="24"/>
          <w:lang w:eastAsia="lt-LT"/>
        </w:rPr>
      </w:pPr>
      <w:r>
        <w:rPr>
          <w:rFonts w:eastAsia="Lucida Sans Unicode"/>
          <w:kern w:val="1"/>
          <w:szCs w:val="24"/>
          <w:lang w:eastAsia="lt-LT"/>
        </w:rPr>
        <w:t xml:space="preserve">2025 m. </w:t>
      </w:r>
      <w:r>
        <w:rPr>
          <w:rFonts w:eastAsia="Lucida Sans Unicode"/>
          <w:kern w:val="1"/>
          <w:szCs w:val="24"/>
          <w:lang w:eastAsia="lt-LT"/>
        </w:rPr>
        <w:t>gruodžio 12 d. Nr. T-598</w:t>
      </w:r>
    </w:p>
    <w:p w:rsidR="0078476E" w:rsidRDefault="001B2988">
      <w:pPr>
        <w:widowControl w:val="0"/>
        <w:suppressAutoHyphens/>
        <w:jc w:val="center"/>
        <w:rPr>
          <w:rFonts w:eastAsia="Lucida Sans Unicode"/>
          <w:kern w:val="1"/>
          <w:szCs w:val="24"/>
          <w:lang w:eastAsia="lt-LT"/>
        </w:rPr>
      </w:pPr>
      <w:r>
        <w:rPr>
          <w:rFonts w:eastAsia="Lucida Sans Unicode"/>
          <w:kern w:val="1"/>
          <w:szCs w:val="24"/>
          <w:lang w:eastAsia="lt-LT"/>
        </w:rPr>
        <w:t>Šiauliai</w:t>
      </w:r>
    </w:p>
    <w:p w:rsidR="0078476E" w:rsidRDefault="0078476E">
      <w:pPr>
        <w:widowControl w:val="0"/>
        <w:suppressAutoHyphens/>
        <w:jc w:val="center"/>
        <w:rPr>
          <w:b/>
          <w:bCs/>
          <w:szCs w:val="24"/>
          <w:lang w:eastAsia="lt-LT"/>
        </w:rPr>
      </w:pPr>
    </w:p>
    <w:p w:rsidR="0078476E" w:rsidRDefault="0078476E">
      <w:pPr>
        <w:widowControl w:val="0"/>
        <w:suppressAutoHyphens/>
        <w:jc w:val="center"/>
        <w:rPr>
          <w:rFonts w:eastAsia="Lucida Sans Unicode"/>
          <w:kern w:val="1"/>
          <w:szCs w:val="24"/>
          <w:lang w:eastAsia="lt-LT"/>
        </w:rPr>
      </w:pPr>
    </w:p>
    <w:p w:rsidR="0078476E" w:rsidRDefault="001B2988">
      <w:pPr>
        <w:widowControl w:val="0"/>
        <w:suppressAutoHyphens/>
        <w:ind w:firstLine="851"/>
        <w:jc w:val="both"/>
        <w:rPr>
          <w:szCs w:val="24"/>
        </w:rPr>
      </w:pPr>
      <w:r>
        <w:rPr>
          <w:rFonts w:eastAsia="Lucida Sans Unicode"/>
          <w:kern w:val="1"/>
          <w:szCs w:val="24"/>
          <w:lang w:eastAsia="lt-LT"/>
        </w:rPr>
        <w:t>Vadovaudamasi</w:t>
      </w:r>
      <w:r>
        <w:rPr>
          <w:szCs w:val="24"/>
        </w:rPr>
        <w:t xml:space="preserve"> Lietuvos Respublikos vietos savivaldos įstatymo 6 straipsnio 8 punktu,  16 straipsnio 1 dalimi, Lietuvos Respublikos neformaliojo suaugusiųjų švietimo ir tęstinio mokymosi įstatymu, Bendrųjų iš valstybės ar</w:t>
      </w:r>
      <w:r>
        <w:rPr>
          <w:szCs w:val="24"/>
        </w:rPr>
        <w:t xml:space="preserve"> savivaldybių biudžetų finansuojamų neformaliojo švietimo programų kriterijų aprašu, patvirtintu Lietuvos Respublikos švietimo, mokslo ir sporto ministro 2022 m. sausio 4 d. įsakymo Nr. V-4 „Dėl Bendrųjų iš valstybės ar savivaldybių biudžetų finansuojamų n</w:t>
      </w:r>
      <w:r>
        <w:rPr>
          <w:szCs w:val="24"/>
        </w:rPr>
        <w:t xml:space="preserve">eformaliojo švietimo programų kriterijų aprašo patvirtinimo“ 1 punktu, </w:t>
      </w:r>
      <w:r>
        <w:rPr>
          <w:rFonts w:eastAsia="Lucida Sans Unicode"/>
          <w:kern w:val="1"/>
          <w:szCs w:val="24"/>
          <w:lang w:eastAsia="lt-LT"/>
        </w:rPr>
        <w:t xml:space="preserve">Šiaulių miesto savivaldybės taryba </w:t>
      </w:r>
      <w:r>
        <w:rPr>
          <w:rFonts w:eastAsia="Lucida Sans Unicode"/>
          <w:spacing w:val="60"/>
          <w:kern w:val="1"/>
          <w:szCs w:val="24"/>
          <w:lang w:eastAsia="lt-LT"/>
        </w:rPr>
        <w:t>nusprendži</w:t>
      </w:r>
      <w:r>
        <w:rPr>
          <w:rFonts w:eastAsia="Lucida Sans Unicode"/>
          <w:kern w:val="1"/>
          <w:szCs w:val="24"/>
          <w:lang w:eastAsia="lt-LT"/>
        </w:rPr>
        <w:t>a:</w:t>
      </w:r>
    </w:p>
    <w:p w:rsidR="0078476E" w:rsidRDefault="001B2988">
      <w:pPr>
        <w:widowControl w:val="0"/>
        <w:suppressAutoHyphens/>
        <w:ind w:firstLine="851"/>
        <w:jc w:val="both"/>
        <w:rPr>
          <w:szCs w:val="24"/>
        </w:rPr>
      </w:pPr>
      <w:r>
        <w:rPr>
          <w:rFonts w:eastAsia="Lucida Sans Unicode"/>
          <w:kern w:val="1"/>
          <w:szCs w:val="24"/>
          <w:lang w:eastAsia="lt-LT"/>
        </w:rPr>
        <w:t>1</w:t>
      </w:r>
      <w:r>
        <w:rPr>
          <w:rFonts w:eastAsia="Lucida Sans Unicode"/>
          <w:kern w:val="1"/>
          <w:szCs w:val="24"/>
          <w:lang w:eastAsia="lt-LT"/>
        </w:rPr>
        <w:t xml:space="preserve">. Patvirtinti </w:t>
      </w:r>
      <w:r>
        <w:rPr>
          <w:szCs w:val="24"/>
        </w:rPr>
        <w:t>Šiaulių miesto savivaldybės neformaliojo suaugusiųjų švietimo ir tęstinio mokymosi programų, finansuojamų savivaldybės</w:t>
      </w:r>
      <w:r>
        <w:rPr>
          <w:szCs w:val="24"/>
        </w:rPr>
        <w:t xml:space="preserve"> biudžeto lėšomis, finansavimo ir atrankos tvarkos </w:t>
      </w:r>
      <w:r>
        <w:rPr>
          <w:rFonts w:eastAsia="Calibri"/>
          <w:szCs w:val="24"/>
        </w:rPr>
        <w:t xml:space="preserve">aprašą </w:t>
      </w:r>
      <w:r>
        <w:rPr>
          <w:szCs w:val="24"/>
        </w:rPr>
        <w:t>(pridedama).</w:t>
      </w:r>
    </w:p>
    <w:p w:rsidR="0078476E" w:rsidRDefault="001B2988" w:rsidP="001B2988">
      <w:pPr>
        <w:widowControl w:val="0"/>
        <w:suppressAutoHyphens/>
        <w:ind w:firstLine="851"/>
        <w:jc w:val="both"/>
        <w:rPr>
          <w:szCs w:val="24"/>
        </w:rPr>
      </w:pPr>
      <w:r>
        <w:rPr>
          <w:szCs w:val="24"/>
        </w:rPr>
        <w:t>2</w:t>
      </w:r>
      <w:r>
        <w:rPr>
          <w:szCs w:val="24"/>
        </w:rPr>
        <w:t xml:space="preserve">. </w:t>
      </w:r>
      <w:r>
        <w:rPr>
          <w:rFonts w:eastAsia="Lucida Sans Unicode" w:cs="Mangal"/>
          <w:kern w:val="1"/>
          <w:szCs w:val="24"/>
          <w:lang w:eastAsia="hi-IN" w:bidi="hi-IN"/>
        </w:rPr>
        <w:t>Pripažinti netekusiu galios</w:t>
      </w:r>
      <w:r>
        <w:rPr>
          <w:rFonts w:eastAsia="Calibri"/>
          <w:szCs w:val="24"/>
        </w:rPr>
        <w:t xml:space="preserve"> </w:t>
      </w:r>
      <w:r>
        <w:rPr>
          <w:rFonts w:eastAsia="Andale Sans UI"/>
          <w:kern w:val="2"/>
          <w:szCs w:val="24"/>
          <w:lang w:eastAsia="lt-LT"/>
        </w:rPr>
        <w:t xml:space="preserve">Šiaulių miesto savivaldybės tarybos 2016 m. gruodžio 29 d. sprendimą Nr. T-438 „Dėl </w:t>
      </w:r>
      <w:r>
        <w:rPr>
          <w:szCs w:val="24"/>
        </w:rPr>
        <w:t xml:space="preserve">Šiaulių miesto savivaldybės neformaliojo suaugusiųjų švietimo ir tęstinio mokymosi programų, finansuojamų savivaldybės biudžeto lėšomis, finansavimo ir atrankos tvarkos </w:t>
      </w:r>
      <w:r>
        <w:rPr>
          <w:rFonts w:eastAsia="Calibri"/>
          <w:szCs w:val="24"/>
        </w:rPr>
        <w:t>aprašo patvirtinimo</w:t>
      </w:r>
      <w:r>
        <w:rPr>
          <w:rFonts w:eastAsia="Andale Sans UI"/>
          <w:kern w:val="2"/>
          <w:szCs w:val="24"/>
          <w:lang w:eastAsia="lt-LT"/>
        </w:rPr>
        <w:t xml:space="preserve">“ su visais pakeitimais ir </w:t>
      </w:r>
      <w:proofErr w:type="spellStart"/>
      <w:r>
        <w:rPr>
          <w:rFonts w:eastAsia="Andale Sans UI"/>
          <w:kern w:val="2"/>
          <w:szCs w:val="24"/>
          <w:lang w:eastAsia="lt-LT"/>
        </w:rPr>
        <w:t>papildymais</w:t>
      </w:r>
      <w:proofErr w:type="spellEnd"/>
      <w:r>
        <w:rPr>
          <w:rFonts w:eastAsia="Andale Sans UI"/>
          <w:kern w:val="2"/>
          <w:szCs w:val="24"/>
          <w:lang w:eastAsia="lt-LT"/>
        </w:rPr>
        <w:t>.</w:t>
      </w:r>
      <w:r>
        <w:rPr>
          <w:szCs w:val="24"/>
        </w:rPr>
        <w:t xml:space="preserve"> </w:t>
      </w:r>
    </w:p>
    <w:p w:rsidR="001B2988" w:rsidRDefault="001B2988">
      <w:pPr>
        <w:tabs>
          <w:tab w:val="left" w:pos="7797"/>
        </w:tabs>
      </w:pPr>
    </w:p>
    <w:p w:rsidR="001B2988" w:rsidRDefault="001B2988">
      <w:pPr>
        <w:tabs>
          <w:tab w:val="left" w:pos="7797"/>
        </w:tabs>
      </w:pPr>
    </w:p>
    <w:p w:rsidR="001B2988" w:rsidRDefault="001B2988">
      <w:pPr>
        <w:tabs>
          <w:tab w:val="left" w:pos="7797"/>
        </w:tabs>
      </w:pPr>
    </w:p>
    <w:p w:rsidR="0078476E" w:rsidRDefault="001B2988">
      <w:pPr>
        <w:tabs>
          <w:tab w:val="left" w:pos="7797"/>
        </w:tabs>
        <w:rPr>
          <w:szCs w:val="24"/>
        </w:rPr>
      </w:pPr>
      <w:r>
        <w:rPr>
          <w:szCs w:val="24"/>
        </w:rPr>
        <w:t xml:space="preserve">Savivaldybės meras </w:t>
      </w:r>
      <w:r>
        <w:rPr>
          <w:szCs w:val="24"/>
        </w:rPr>
        <w:tab/>
        <w:t>Ar</w:t>
      </w:r>
      <w:r>
        <w:rPr>
          <w:szCs w:val="24"/>
        </w:rPr>
        <w:t>tūras Visockas</w:t>
      </w:r>
    </w:p>
    <w:p w:rsidR="0078476E" w:rsidRDefault="001B2988">
      <w:pPr>
        <w:tabs>
          <w:tab w:val="left" w:pos="7797"/>
        </w:tabs>
        <w:rPr>
          <w:szCs w:val="24"/>
        </w:rPr>
      </w:pPr>
    </w:p>
    <w:p w:rsidR="001B2988" w:rsidRDefault="001B2988">
      <w:pPr>
        <w:ind w:firstLine="5103"/>
        <w:sectPr w:rsidR="001B298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567" w:gutter="0"/>
          <w:pgNumType w:start="1"/>
          <w:cols w:space="1296"/>
          <w:titlePg/>
          <w:docGrid w:linePitch="360"/>
        </w:sectPr>
      </w:pPr>
    </w:p>
    <w:p w:rsidR="0078476E" w:rsidRDefault="001B2988">
      <w:pPr>
        <w:ind w:firstLine="5103"/>
        <w:rPr>
          <w:color w:val="000000"/>
          <w:szCs w:val="24"/>
          <w:lang w:eastAsia="lt-LT"/>
        </w:rPr>
      </w:pPr>
      <w:r>
        <w:rPr>
          <w:color w:val="000000"/>
          <w:szCs w:val="24"/>
          <w:lang w:eastAsia="lt-LT"/>
        </w:rPr>
        <w:t>PATVIRTINTA</w:t>
      </w:r>
    </w:p>
    <w:p w:rsidR="0078476E" w:rsidRDefault="001B2988">
      <w:pPr>
        <w:ind w:firstLine="5103"/>
        <w:rPr>
          <w:color w:val="000000"/>
          <w:szCs w:val="24"/>
          <w:lang w:eastAsia="lt-LT"/>
        </w:rPr>
      </w:pPr>
      <w:r>
        <w:rPr>
          <w:color w:val="000000"/>
          <w:szCs w:val="24"/>
          <w:lang w:eastAsia="lt-LT"/>
        </w:rPr>
        <w:t>Šiaulių miesto savivaldybės tarybos</w:t>
      </w:r>
    </w:p>
    <w:p w:rsidR="0078476E" w:rsidRDefault="001B2988">
      <w:pPr>
        <w:ind w:firstLine="5103"/>
        <w:rPr>
          <w:color w:val="000000"/>
          <w:szCs w:val="24"/>
          <w:lang w:eastAsia="lt-LT"/>
        </w:rPr>
      </w:pPr>
      <w:r>
        <w:rPr>
          <w:color w:val="000000"/>
          <w:szCs w:val="24"/>
          <w:lang w:eastAsia="lt-LT"/>
        </w:rPr>
        <w:t xml:space="preserve">2025 m. gruodžio 12 d. sprendimu Nr. T-598   </w:t>
      </w:r>
    </w:p>
    <w:p w:rsidR="0078476E" w:rsidRDefault="0078476E">
      <w:pPr>
        <w:jc w:val="center"/>
        <w:rPr>
          <w:rFonts w:eastAsia="Calibri"/>
          <w:b/>
          <w:szCs w:val="24"/>
        </w:rPr>
      </w:pPr>
    </w:p>
    <w:p w:rsidR="0078476E" w:rsidRDefault="0078476E">
      <w:pPr>
        <w:jc w:val="center"/>
        <w:rPr>
          <w:rFonts w:eastAsia="Calibri"/>
          <w:b/>
          <w:szCs w:val="24"/>
        </w:rPr>
      </w:pPr>
    </w:p>
    <w:p w:rsidR="0078476E" w:rsidRDefault="001B2988">
      <w:pPr>
        <w:jc w:val="center"/>
        <w:rPr>
          <w:rFonts w:eastAsia="Calibri"/>
          <w:b/>
          <w:szCs w:val="24"/>
        </w:rPr>
      </w:pPr>
      <w:r>
        <w:rPr>
          <w:rFonts w:eastAsia="Calibri"/>
          <w:b/>
          <w:szCs w:val="24"/>
        </w:rPr>
        <w:t xml:space="preserve">ŠIAULIŲ MIESTO SAVIVALDYBĖS NEFORMALIOJO SUAUGUSIŲJŲ ŠVIETIMO IR TĘSTINIO MOKYMOSI PROGRAMŲ, FINANSUOJAMŲ SAVIVALDYBĖS BIUDŽETO LĖŠOMIS, </w:t>
      </w:r>
      <w:r>
        <w:rPr>
          <w:rFonts w:eastAsia="Calibri"/>
          <w:b/>
          <w:szCs w:val="24"/>
        </w:rPr>
        <w:t>FINANSAVIMO IR ATRANKOS TVARKOS APRAŠAS</w:t>
      </w:r>
    </w:p>
    <w:p w:rsidR="0078476E" w:rsidRDefault="0078476E">
      <w:pPr>
        <w:jc w:val="center"/>
        <w:rPr>
          <w:rFonts w:eastAsia="Calibri"/>
          <w:szCs w:val="24"/>
        </w:rPr>
      </w:pPr>
    </w:p>
    <w:p w:rsidR="0078476E" w:rsidRDefault="001B2988">
      <w:pPr>
        <w:jc w:val="center"/>
        <w:rPr>
          <w:rFonts w:eastAsia="Calibri"/>
          <w:b/>
          <w:szCs w:val="24"/>
        </w:rPr>
      </w:pPr>
      <w:r>
        <w:rPr>
          <w:rFonts w:eastAsia="Calibri"/>
          <w:b/>
          <w:szCs w:val="24"/>
        </w:rPr>
        <w:t>I</w:t>
      </w:r>
      <w:r>
        <w:rPr>
          <w:rFonts w:eastAsia="Calibri"/>
          <w:b/>
          <w:szCs w:val="24"/>
        </w:rPr>
        <w:t xml:space="preserve"> SKYRIUS </w:t>
      </w:r>
    </w:p>
    <w:p w:rsidR="0078476E" w:rsidRDefault="001B2988">
      <w:pPr>
        <w:jc w:val="center"/>
        <w:rPr>
          <w:rFonts w:eastAsia="Calibri"/>
          <w:b/>
          <w:szCs w:val="24"/>
        </w:rPr>
      </w:pPr>
      <w:r>
        <w:rPr>
          <w:rFonts w:eastAsia="Calibri"/>
          <w:b/>
          <w:szCs w:val="24"/>
        </w:rPr>
        <w:t xml:space="preserve">BENDROSIOS NUOSTATOS </w:t>
      </w:r>
    </w:p>
    <w:p w:rsidR="0078476E" w:rsidRDefault="0078476E">
      <w:pPr>
        <w:ind w:firstLine="1276"/>
        <w:jc w:val="both"/>
        <w:rPr>
          <w:rFonts w:eastAsia="Calibri"/>
          <w:szCs w:val="24"/>
        </w:rPr>
      </w:pPr>
    </w:p>
    <w:p w:rsidR="0078476E" w:rsidRDefault="001B2988">
      <w:pPr>
        <w:ind w:firstLine="851"/>
        <w:jc w:val="both"/>
        <w:rPr>
          <w:rFonts w:eastAsia="Calibri"/>
          <w:szCs w:val="24"/>
        </w:rPr>
      </w:pPr>
      <w:r>
        <w:rPr>
          <w:rFonts w:eastAsia="Calibri"/>
          <w:szCs w:val="24"/>
        </w:rPr>
        <w:t>1</w:t>
      </w:r>
      <w:r>
        <w:rPr>
          <w:rFonts w:eastAsia="Calibri"/>
          <w:szCs w:val="24"/>
        </w:rPr>
        <w:t xml:space="preserve">. </w:t>
      </w:r>
      <w:r>
        <w:rPr>
          <w:bCs/>
        </w:rPr>
        <w:t>Šiaulių miesto</w:t>
      </w:r>
      <w:r>
        <w:rPr>
          <w:rFonts w:eastAsia="Calibri"/>
          <w:szCs w:val="24"/>
        </w:rPr>
        <w:t xml:space="preserve"> savivaldybės neformaliojo suaugusiųjų švietimo ir tęstinio mokymosi programų, finansuojamų savivaldybės biudžeto lėšomis, finansavimo ir atrankos tvarkos a</w:t>
      </w:r>
      <w:r>
        <w:rPr>
          <w:rFonts w:eastAsia="Calibri"/>
          <w:szCs w:val="24"/>
        </w:rPr>
        <w:t xml:space="preserve">prašas </w:t>
      </w:r>
      <w:r>
        <w:rPr>
          <w:rFonts w:eastAsia="Calibri"/>
          <w:szCs w:val="24"/>
        </w:rPr>
        <w:lastRenderedPageBreak/>
        <w:t>(toliau – Aprašas) nustato Šiaulių miesto savivaldybės biudžeto (toliau – savivaldybės biudžetas) lėšų skyrimo mokymuisi pagal neformaliojo suaugusiųjų švietimo ir tęstinio mokymosi programas (toliau – Programos) tvarką, Programų vertinimo kriteriju</w:t>
      </w:r>
      <w:r>
        <w:rPr>
          <w:rFonts w:eastAsia="Calibri"/>
          <w:szCs w:val="24"/>
        </w:rPr>
        <w:t>s, atrankos sąlygas, finansavimą, lėšų naudojimą ir atsiskaitymą už jų naudojimą.</w:t>
      </w:r>
    </w:p>
    <w:p w:rsidR="0078476E" w:rsidRDefault="001B2988">
      <w:pPr>
        <w:ind w:firstLine="851"/>
        <w:jc w:val="both"/>
        <w:rPr>
          <w:rFonts w:eastAsia="Calibri"/>
          <w:szCs w:val="24"/>
        </w:rPr>
      </w:pPr>
      <w:r>
        <w:rPr>
          <w:rFonts w:eastAsia="Calibri"/>
          <w:szCs w:val="24"/>
        </w:rPr>
        <w:t>2</w:t>
      </w:r>
      <w:r>
        <w:rPr>
          <w:rFonts w:eastAsia="Calibri"/>
          <w:szCs w:val="24"/>
        </w:rPr>
        <w:t xml:space="preserve">. Suaugusiųjų švietimo ir tęstinio mokymosi finansavimo tikslas – plėtoti </w:t>
      </w:r>
      <w:r>
        <w:rPr>
          <w:bCs/>
        </w:rPr>
        <w:t>Šiaulių miesto</w:t>
      </w:r>
      <w:r>
        <w:rPr>
          <w:rFonts w:eastAsia="Calibri"/>
          <w:szCs w:val="24"/>
        </w:rPr>
        <w:t xml:space="preserve"> savivaldybės (toliau – Savivaldybė) neformaliojo suaugusiųjų švietimo paslaugas,</w:t>
      </w:r>
      <w:r>
        <w:rPr>
          <w:rFonts w:eastAsia="Calibri"/>
          <w:szCs w:val="24"/>
        </w:rPr>
        <w:t xml:space="preserve"> pritaikyti jas prie visuomenės ir darbo rinkos poreikių. </w:t>
      </w:r>
    </w:p>
    <w:p w:rsidR="0078476E" w:rsidRDefault="001B2988">
      <w:pPr>
        <w:ind w:firstLine="851"/>
        <w:jc w:val="both"/>
        <w:rPr>
          <w:szCs w:val="24"/>
        </w:rPr>
      </w:pPr>
      <w:r>
        <w:rPr>
          <w:szCs w:val="24"/>
        </w:rPr>
        <w:t>3</w:t>
      </w:r>
      <w:r>
        <w:rPr>
          <w:szCs w:val="24"/>
        </w:rPr>
        <w:t>. Programoms vykdyti skiriamos savivaldybės biudžeto lėšos priklauso nuo einamųjų metų savivaldybės biudžeto galimybių ir yra administruojamos Savivaldybės administracijos.</w:t>
      </w:r>
    </w:p>
    <w:p w:rsidR="0078476E" w:rsidRDefault="001B2988">
      <w:pPr>
        <w:ind w:firstLine="851"/>
        <w:jc w:val="both"/>
        <w:rPr>
          <w:rFonts w:eastAsia="Calibri"/>
          <w:bCs/>
          <w:szCs w:val="24"/>
        </w:rPr>
      </w:pPr>
      <w:r>
        <w:rPr>
          <w:rFonts w:eastAsia="Calibri"/>
          <w:szCs w:val="24"/>
        </w:rPr>
        <w:t>4</w:t>
      </w:r>
      <w:r>
        <w:rPr>
          <w:rFonts w:eastAsia="Calibri"/>
          <w:szCs w:val="24"/>
        </w:rPr>
        <w:t xml:space="preserve">. </w:t>
      </w:r>
      <w:r>
        <w:rPr>
          <w:bCs/>
          <w:szCs w:val="24"/>
          <w:lang w:eastAsia="ar-SA"/>
        </w:rPr>
        <w:t>Lėšos Progra</w:t>
      </w:r>
      <w:r>
        <w:rPr>
          <w:bCs/>
          <w:szCs w:val="24"/>
          <w:lang w:eastAsia="ar-SA"/>
        </w:rPr>
        <w:t xml:space="preserve">moms skiriamos atsižvelgiant į einamųjų metų prioritetus, kuriuos rekomenduoja Šiaulių miesto savivaldybės švietimo taryba ir potvarkiu patvirtina Savivaldybės meras. </w:t>
      </w:r>
    </w:p>
    <w:p w:rsidR="0078476E" w:rsidRDefault="001B2988">
      <w:pPr>
        <w:ind w:firstLine="851"/>
        <w:jc w:val="both"/>
        <w:rPr>
          <w:i/>
          <w:iCs/>
          <w:szCs w:val="24"/>
          <w:lang w:eastAsia="lt-LT"/>
        </w:rPr>
      </w:pPr>
      <w:r>
        <w:rPr>
          <w:rFonts w:eastAsia="Calibri"/>
          <w:bCs/>
          <w:szCs w:val="24"/>
        </w:rPr>
        <w:t>5</w:t>
      </w:r>
      <w:r>
        <w:rPr>
          <w:rFonts w:eastAsia="Calibri"/>
          <w:bCs/>
          <w:szCs w:val="24"/>
        </w:rPr>
        <w:t>.</w:t>
      </w:r>
      <w:r>
        <w:rPr>
          <w:rFonts w:eastAsia="Calibri"/>
          <w:szCs w:val="24"/>
        </w:rPr>
        <w:t xml:space="preserve"> Apraše vartojamos sąvokos atitinka Lietuvos Respublikos švietimo įstatyme, Lietuvos Respublikos neformaliojo suaugusiųjų švietimo ir tęstinio mokymosi įstatyme, </w:t>
      </w:r>
      <w:r>
        <w:t>Bendrųjų iš valstybės ar savivaldybių biudžetų finansuojamų neformaliojo švietimo programų kri</w:t>
      </w:r>
      <w:r>
        <w:t>terijų apraše, patvirtintame</w:t>
      </w:r>
      <w:r>
        <w:rPr>
          <w:b/>
        </w:rPr>
        <w:t xml:space="preserve"> </w:t>
      </w:r>
      <w:r>
        <w:t xml:space="preserve">Lietuvos Respublikos švietimo, mokslo ir sporto ministro 2022 m. sausio 4 d. įsakymu Nr. V-4 </w:t>
      </w:r>
      <w:r>
        <w:rPr>
          <w:i/>
          <w:iCs/>
        </w:rPr>
        <w:t>„Dėl  Bendrųjų iš valstybės ar savivaldybių biudžetų finansuojamų neformaliojo švietimo programų kriterijų aprašo patvirtinimo“,</w:t>
      </w:r>
      <w:r>
        <w:rPr>
          <w:szCs w:val="24"/>
          <w:lang w:eastAsia="lt-LT"/>
        </w:rPr>
        <w:t xml:space="preserve"> </w:t>
      </w:r>
      <w:r>
        <w:rPr>
          <w:rFonts w:eastAsia="Calibri"/>
          <w:szCs w:val="24"/>
        </w:rPr>
        <w:t>varto</w:t>
      </w:r>
      <w:r>
        <w:rPr>
          <w:rFonts w:eastAsia="Calibri"/>
          <w:szCs w:val="24"/>
        </w:rPr>
        <w:t>jamas sąvokas.</w:t>
      </w:r>
    </w:p>
    <w:p w:rsidR="0078476E" w:rsidRDefault="001B2988">
      <w:pPr>
        <w:ind w:firstLine="1276"/>
        <w:jc w:val="both"/>
        <w:rPr>
          <w:rFonts w:eastAsia="Calibri"/>
          <w:szCs w:val="24"/>
        </w:rPr>
      </w:pPr>
    </w:p>
    <w:p w:rsidR="0078476E" w:rsidRPr="001B2988" w:rsidRDefault="001B2988">
      <w:pPr>
        <w:jc w:val="center"/>
        <w:rPr>
          <w:rFonts w:eastAsia="Calibri"/>
          <w:b/>
          <w:szCs w:val="24"/>
        </w:rPr>
      </w:pPr>
      <w:r w:rsidRPr="001B2988">
        <w:rPr>
          <w:rFonts w:eastAsia="Calibri"/>
          <w:b/>
          <w:szCs w:val="24"/>
        </w:rPr>
        <w:t>II</w:t>
      </w:r>
      <w:r w:rsidRPr="001B2988">
        <w:rPr>
          <w:rFonts w:eastAsia="Calibri"/>
          <w:b/>
          <w:szCs w:val="24"/>
        </w:rPr>
        <w:t xml:space="preserve"> SKYRIUS</w:t>
      </w:r>
    </w:p>
    <w:p w:rsidR="0078476E" w:rsidRPr="001B2988" w:rsidRDefault="001B2988">
      <w:pPr>
        <w:jc w:val="center"/>
        <w:rPr>
          <w:rFonts w:eastAsia="Calibri"/>
          <w:b/>
          <w:szCs w:val="24"/>
        </w:rPr>
      </w:pPr>
      <w:r w:rsidRPr="001B2988">
        <w:rPr>
          <w:rFonts w:eastAsia="Calibri"/>
          <w:b/>
          <w:szCs w:val="24"/>
        </w:rPr>
        <w:t>PROGRAMŲ ATRANKOS SĄLYGOS</w:t>
      </w:r>
    </w:p>
    <w:p w:rsidR="0078476E" w:rsidRPr="001B2988" w:rsidRDefault="0078476E">
      <w:pPr>
        <w:rPr>
          <w:rFonts w:eastAsia="Calibri"/>
          <w:b/>
          <w:szCs w:val="24"/>
        </w:rPr>
      </w:pPr>
    </w:p>
    <w:p w:rsidR="0078476E" w:rsidRPr="001B2988" w:rsidRDefault="001B2988">
      <w:pPr>
        <w:ind w:firstLine="851"/>
        <w:jc w:val="both"/>
        <w:rPr>
          <w:szCs w:val="24"/>
        </w:rPr>
      </w:pPr>
      <w:r w:rsidRPr="001B2988">
        <w:rPr>
          <w:rFonts w:eastAsia="Calibri"/>
          <w:szCs w:val="24"/>
        </w:rPr>
        <w:t>6</w:t>
      </w:r>
      <w:r w:rsidRPr="001B2988">
        <w:rPr>
          <w:rFonts w:eastAsia="Calibri"/>
          <w:szCs w:val="24"/>
        </w:rPr>
        <w:t xml:space="preserve">. </w:t>
      </w:r>
      <w:r w:rsidRPr="001B2988">
        <w:rPr>
          <w:szCs w:val="24"/>
        </w:rPr>
        <w:t xml:space="preserve">Vienas Programų teikėjas konkursui gali teikti vieną  Programos paraišką. </w:t>
      </w:r>
    </w:p>
    <w:p w:rsidR="0078476E" w:rsidRPr="001B2988" w:rsidRDefault="001B2988">
      <w:pPr>
        <w:ind w:firstLine="851"/>
        <w:jc w:val="both"/>
        <w:rPr>
          <w:szCs w:val="24"/>
        </w:rPr>
      </w:pPr>
      <w:r w:rsidRPr="001B2988">
        <w:rPr>
          <w:rFonts w:eastAsia="Calibri"/>
          <w:szCs w:val="24"/>
        </w:rPr>
        <w:t>7</w:t>
      </w:r>
      <w:r w:rsidRPr="001B2988">
        <w:rPr>
          <w:rFonts w:eastAsia="Calibri"/>
          <w:szCs w:val="24"/>
        </w:rPr>
        <w:t>. Programos trukmė turi būti ne trumpesnė kaip 40 akademinių valandų (akademinė valanda – 45 min.). Programos</w:t>
      </w:r>
      <w:r w:rsidRPr="001B2988">
        <w:rPr>
          <w:rFonts w:eastAsia="Calibri"/>
          <w:szCs w:val="24"/>
        </w:rPr>
        <w:t xml:space="preserve"> baigiamos vykdyti iki kalendorinių metų pabaigos. </w:t>
      </w:r>
    </w:p>
    <w:p w:rsidR="0078476E" w:rsidRPr="001B2988" w:rsidRDefault="001B2988">
      <w:pPr>
        <w:ind w:firstLine="851"/>
        <w:jc w:val="both"/>
        <w:rPr>
          <w:rFonts w:eastAsia="Calibri"/>
          <w:szCs w:val="24"/>
        </w:rPr>
      </w:pPr>
      <w:r w:rsidRPr="001B2988">
        <w:rPr>
          <w:rFonts w:eastAsia="Calibri"/>
          <w:szCs w:val="24"/>
        </w:rPr>
        <w:t>8</w:t>
      </w:r>
      <w:r w:rsidRPr="001B2988">
        <w:rPr>
          <w:rFonts w:eastAsia="Calibri"/>
          <w:szCs w:val="24"/>
        </w:rPr>
        <w:t>. Minimalus besimokančių suaugusiųjų skaičius grupėje – ne mažiau kaip</w:t>
      </w:r>
      <w:r w:rsidRPr="001B2988">
        <w:rPr>
          <w:rFonts w:eastAsia="Calibri"/>
          <w:b/>
          <w:bCs/>
          <w:szCs w:val="24"/>
        </w:rPr>
        <w:t xml:space="preserve"> </w:t>
      </w:r>
      <w:r w:rsidRPr="001B2988">
        <w:rPr>
          <w:rFonts w:eastAsia="Calibri"/>
          <w:szCs w:val="24"/>
        </w:rPr>
        <w:t>15.</w:t>
      </w:r>
    </w:p>
    <w:p w:rsidR="0078476E" w:rsidRPr="001B2988" w:rsidRDefault="001B2988">
      <w:pPr>
        <w:ind w:firstLine="851"/>
        <w:jc w:val="both"/>
        <w:rPr>
          <w:rFonts w:eastAsia="Calibri"/>
          <w:szCs w:val="24"/>
        </w:rPr>
      </w:pPr>
      <w:r w:rsidRPr="001B2988">
        <w:rPr>
          <w:rFonts w:eastAsia="Calibri"/>
          <w:szCs w:val="24"/>
        </w:rPr>
        <w:t>9</w:t>
      </w:r>
      <w:r w:rsidRPr="001B2988">
        <w:rPr>
          <w:rFonts w:eastAsia="Calibri"/>
          <w:szCs w:val="24"/>
        </w:rPr>
        <w:t xml:space="preserve">. </w:t>
      </w:r>
      <w:r w:rsidRPr="001B2988">
        <w:rPr>
          <w:szCs w:val="24"/>
          <w:lang w:eastAsia="lt-LT"/>
        </w:rPr>
        <w:t>Maksimali skiriamų lėšų suma Programai įgyvendinti – ne didesnė nei 3 000 eurų.</w:t>
      </w:r>
      <w:r w:rsidRPr="001B2988">
        <w:rPr>
          <w:szCs w:val="24"/>
        </w:rPr>
        <w:t xml:space="preserve"> </w:t>
      </w:r>
    </w:p>
    <w:p w:rsidR="0078476E" w:rsidRPr="001B2988" w:rsidRDefault="001B2988">
      <w:pPr>
        <w:ind w:firstLine="851"/>
        <w:jc w:val="both"/>
        <w:rPr>
          <w:rFonts w:eastAsia="Calibri"/>
          <w:szCs w:val="24"/>
        </w:rPr>
      </w:pPr>
      <w:r w:rsidRPr="001B2988">
        <w:rPr>
          <w:rFonts w:eastAsia="Calibri"/>
          <w:bCs/>
          <w:szCs w:val="24"/>
        </w:rPr>
        <w:t>10</w:t>
      </w:r>
      <w:r w:rsidRPr="001B2988">
        <w:rPr>
          <w:rFonts w:eastAsia="Calibri"/>
          <w:bCs/>
          <w:szCs w:val="24"/>
        </w:rPr>
        <w:t>.</w:t>
      </w:r>
      <w:r w:rsidRPr="001B2988">
        <w:rPr>
          <w:rFonts w:eastAsia="Calibri"/>
          <w:szCs w:val="24"/>
        </w:rPr>
        <w:t xml:space="preserve"> Neformaliojo suaugusiųjų švi</w:t>
      </w:r>
      <w:r w:rsidRPr="001B2988">
        <w:rPr>
          <w:rFonts w:eastAsia="Calibri"/>
          <w:szCs w:val="24"/>
        </w:rPr>
        <w:t>etimo programų ir tęstinio mokymo teikėjas,  Savivaldybei paskelbus konkursą, teikia:</w:t>
      </w:r>
    </w:p>
    <w:p w:rsidR="0078476E" w:rsidRPr="001B2988" w:rsidRDefault="001B2988">
      <w:pPr>
        <w:ind w:firstLine="851"/>
        <w:jc w:val="both"/>
        <w:rPr>
          <w:rFonts w:eastAsia="Calibri"/>
          <w:szCs w:val="24"/>
        </w:rPr>
      </w:pPr>
      <w:r w:rsidRPr="001B2988">
        <w:rPr>
          <w:rFonts w:eastAsia="Calibri"/>
          <w:bCs/>
          <w:szCs w:val="24"/>
        </w:rPr>
        <w:t>10.1</w:t>
      </w:r>
      <w:r w:rsidRPr="001B2988">
        <w:rPr>
          <w:rFonts w:eastAsia="Calibri"/>
          <w:bCs/>
          <w:szCs w:val="24"/>
        </w:rPr>
        <w:t xml:space="preserve">. </w:t>
      </w:r>
      <w:r w:rsidRPr="001B2988">
        <w:rPr>
          <w:rFonts w:eastAsia="Calibri"/>
          <w:szCs w:val="24"/>
        </w:rPr>
        <w:t>Programos paraišką</w:t>
      </w:r>
      <w:r w:rsidRPr="001B2988">
        <w:rPr>
          <w:szCs w:val="24"/>
        </w:rPr>
        <w:t xml:space="preserve"> (toliau – Paraiška)</w:t>
      </w:r>
      <w:r w:rsidRPr="001B2988">
        <w:rPr>
          <w:rFonts w:eastAsia="Calibri"/>
          <w:szCs w:val="24"/>
        </w:rPr>
        <w:t xml:space="preserve"> (1 priedas);</w:t>
      </w:r>
    </w:p>
    <w:p w:rsidR="0078476E" w:rsidRPr="001B2988" w:rsidRDefault="001B2988">
      <w:pPr>
        <w:ind w:firstLine="851"/>
        <w:jc w:val="both"/>
        <w:rPr>
          <w:rFonts w:eastAsia="Calibri"/>
          <w:szCs w:val="24"/>
        </w:rPr>
      </w:pPr>
      <w:r w:rsidRPr="001B2988">
        <w:rPr>
          <w:rFonts w:eastAsia="Calibri"/>
          <w:bCs/>
          <w:szCs w:val="24"/>
        </w:rPr>
        <w:t>10.2</w:t>
      </w:r>
      <w:r w:rsidRPr="001B2988">
        <w:rPr>
          <w:rFonts w:eastAsia="Calibri"/>
          <w:bCs/>
          <w:szCs w:val="24"/>
        </w:rPr>
        <w:t xml:space="preserve">. dokumentų išrašus, kopijas, kurie leidžia </w:t>
      </w:r>
      <w:r w:rsidRPr="001B2988">
        <w:rPr>
          <w:bCs/>
          <w:szCs w:val="24"/>
        </w:rPr>
        <w:t>patikrinti pateiktų duomenų teisingumą</w:t>
      </w:r>
      <w:r w:rsidRPr="001B2988">
        <w:rPr>
          <w:szCs w:val="24"/>
        </w:rPr>
        <w:t xml:space="preserve"> </w:t>
      </w:r>
      <w:r w:rsidRPr="001B2988">
        <w:rPr>
          <w:rFonts w:eastAsia="Calibri"/>
          <w:bCs/>
          <w:szCs w:val="24"/>
        </w:rPr>
        <w:t>(Programos teikėjas</w:t>
      </w:r>
      <w:r w:rsidRPr="001B2988">
        <w:rPr>
          <w:rFonts w:eastAsia="Calibri"/>
          <w:bCs/>
          <w:szCs w:val="24"/>
        </w:rPr>
        <w:t xml:space="preserve"> </w:t>
      </w:r>
      <w:r w:rsidRPr="001B2988">
        <w:rPr>
          <w:szCs w:val="24"/>
        </w:rPr>
        <w:t xml:space="preserve">atitinka Lietuvos Respublikos neformaliojo suaugusiųjų švietimo ir tęstinio mokymosi įstatymo 2 straipsnio 4 dalyje nustatytą </w:t>
      </w:r>
      <w:r w:rsidRPr="001B2988">
        <w:rPr>
          <w:szCs w:val="24"/>
          <w:lang w:eastAsia="lt-LT"/>
        </w:rPr>
        <w:t>neformaliojo suaugusiųjų švietimo ir tęstinio mokymosi teikėjo statusą,</w:t>
      </w:r>
      <w:r w:rsidRPr="001B2988">
        <w:rPr>
          <w:bCs/>
          <w:szCs w:val="24"/>
        </w:rPr>
        <w:t xml:space="preserve"> yra registruotas Švietimo ir mokslo institucijų registre, jo vykdoma Programa yra registruota Neformaliojo švietimo programų registre ir Programos teikėjas turi ne mažesnę nei vienų metų suaugusiųjų neformaliojo švietimo ir tęstinio mokymosi veiklos organ</w:t>
      </w:r>
      <w:r w:rsidRPr="001B2988">
        <w:rPr>
          <w:bCs/>
          <w:szCs w:val="24"/>
        </w:rPr>
        <w:t>izavimo patirtį).</w:t>
      </w:r>
    </w:p>
    <w:p w:rsidR="0078476E" w:rsidRPr="001B2988" w:rsidRDefault="001B2988">
      <w:pPr>
        <w:ind w:firstLine="913"/>
        <w:jc w:val="both"/>
        <w:rPr>
          <w:bCs/>
          <w:szCs w:val="24"/>
        </w:rPr>
      </w:pPr>
    </w:p>
    <w:p w:rsidR="0078476E" w:rsidRPr="001B2988" w:rsidRDefault="001B2988">
      <w:pPr>
        <w:ind w:firstLine="851"/>
        <w:jc w:val="both"/>
        <w:rPr>
          <w:rFonts w:eastAsia="Calibri"/>
          <w:szCs w:val="24"/>
        </w:rPr>
      </w:pPr>
      <w:r w:rsidRPr="001B2988">
        <w:rPr>
          <w:rFonts w:eastAsia="Calibri"/>
          <w:szCs w:val="24"/>
        </w:rPr>
        <w:t>11</w:t>
      </w:r>
      <w:r w:rsidRPr="001B2988">
        <w:rPr>
          <w:rFonts w:eastAsia="Calibri"/>
          <w:szCs w:val="24"/>
        </w:rPr>
        <w:t xml:space="preserve">. Savivaldybės meras potvarkiu sudaro Paraiškų atrankos ir vertinimo darbo grupę (toliau – darbo grupė).  </w:t>
      </w:r>
    </w:p>
    <w:p w:rsidR="0078476E" w:rsidRPr="001B2988" w:rsidRDefault="001B2988">
      <w:pPr>
        <w:ind w:firstLine="851"/>
        <w:jc w:val="both"/>
        <w:rPr>
          <w:rFonts w:eastAsia="Calibri"/>
          <w:szCs w:val="24"/>
        </w:rPr>
      </w:pPr>
      <w:r w:rsidRPr="001B2988">
        <w:rPr>
          <w:rFonts w:eastAsia="Calibri"/>
          <w:szCs w:val="24"/>
        </w:rPr>
        <w:t>12</w:t>
      </w:r>
      <w:r w:rsidRPr="001B2988">
        <w:rPr>
          <w:rFonts w:eastAsia="Calibri"/>
          <w:szCs w:val="24"/>
        </w:rPr>
        <w:t>. Darbo grupės nariai, vykdydami savo funkcijas, privalo:</w:t>
      </w:r>
    </w:p>
    <w:p w:rsidR="0078476E" w:rsidRPr="001B2988" w:rsidRDefault="001B2988">
      <w:pPr>
        <w:ind w:firstLine="851"/>
        <w:jc w:val="both"/>
        <w:rPr>
          <w:rFonts w:eastAsia="Calibri"/>
          <w:szCs w:val="24"/>
        </w:rPr>
      </w:pPr>
      <w:r w:rsidRPr="001B2988">
        <w:rPr>
          <w:rFonts w:eastAsia="Calibri"/>
          <w:szCs w:val="24"/>
        </w:rPr>
        <w:t>12.1</w:t>
      </w:r>
      <w:r w:rsidRPr="001B2988">
        <w:rPr>
          <w:rFonts w:eastAsia="Calibri"/>
          <w:szCs w:val="24"/>
        </w:rPr>
        <w:t xml:space="preserve">. užtikrinti informacijos, susijusios su jų veikla </w:t>
      </w:r>
      <w:r w:rsidRPr="001B2988">
        <w:rPr>
          <w:rFonts w:eastAsia="Calibri"/>
          <w:szCs w:val="24"/>
        </w:rPr>
        <w:t>darbo grupėje, konfidencialumą;</w:t>
      </w:r>
    </w:p>
    <w:p w:rsidR="0078476E" w:rsidRPr="001B2988" w:rsidRDefault="001B2988">
      <w:pPr>
        <w:ind w:firstLine="851"/>
        <w:jc w:val="both"/>
        <w:rPr>
          <w:rFonts w:eastAsia="Calibri"/>
          <w:szCs w:val="24"/>
        </w:rPr>
      </w:pPr>
      <w:r w:rsidRPr="001B2988">
        <w:rPr>
          <w:rFonts w:eastAsia="Calibri"/>
          <w:szCs w:val="24"/>
        </w:rPr>
        <w:t>12.2</w:t>
      </w:r>
      <w:r w:rsidRPr="001B2988">
        <w:rPr>
          <w:rFonts w:eastAsia="Calibri"/>
          <w:szCs w:val="24"/>
        </w:rPr>
        <w:t>. nedalyvauti svarstant ir vertinant Paraiškas, kurias pateikė Programų teikėjai, susiję su darbo grupės nariu ryšiais, neleidžiančiais priimti objektyvių sprendimų.</w:t>
      </w:r>
    </w:p>
    <w:p w:rsidR="0078476E" w:rsidRPr="001B2988" w:rsidRDefault="001B2988">
      <w:pPr>
        <w:ind w:firstLine="851"/>
        <w:jc w:val="both"/>
        <w:rPr>
          <w:rFonts w:eastAsia="Calibri"/>
          <w:szCs w:val="24"/>
        </w:rPr>
      </w:pPr>
      <w:r w:rsidRPr="001B2988">
        <w:rPr>
          <w:rFonts w:eastAsia="Calibri"/>
          <w:szCs w:val="24"/>
        </w:rPr>
        <w:t>13</w:t>
      </w:r>
      <w:r w:rsidRPr="001B2988">
        <w:rPr>
          <w:rFonts w:eastAsia="Calibri"/>
          <w:szCs w:val="24"/>
        </w:rPr>
        <w:t>. Darbo grupė įvertina pateiktas Paraiškas</w:t>
      </w:r>
      <w:r w:rsidRPr="001B2988">
        <w:rPr>
          <w:rFonts w:eastAsia="Calibri"/>
          <w:szCs w:val="24"/>
        </w:rPr>
        <w:t xml:space="preserve"> pagal Paraiškų tinkamumo vertinimo (2 priedas) ir Paraiškų ekspertinio vertinimo (3 priedas) kriterijus. Atsižvelgdama į Programoms įgyvendinti numatytas lėšas ir </w:t>
      </w:r>
      <w:proofErr w:type="spellStart"/>
      <w:r w:rsidRPr="001B2988">
        <w:rPr>
          <w:rFonts w:eastAsia="Calibri"/>
          <w:szCs w:val="24"/>
        </w:rPr>
        <w:t>įvertinimus</w:t>
      </w:r>
      <w:proofErr w:type="spellEnd"/>
      <w:r w:rsidRPr="001B2988">
        <w:rPr>
          <w:rFonts w:eastAsia="Calibri"/>
          <w:szCs w:val="24"/>
        </w:rPr>
        <w:t>, darbo grupė sudaro siūlomų finansuoti Programų sąrašą.</w:t>
      </w:r>
    </w:p>
    <w:p w:rsidR="0078476E" w:rsidRPr="001B2988" w:rsidRDefault="001B2988">
      <w:pPr>
        <w:ind w:firstLine="851"/>
        <w:jc w:val="both"/>
      </w:pPr>
      <w:r w:rsidRPr="001B2988">
        <w:rPr>
          <w:rFonts w:eastAsia="Calibri"/>
          <w:szCs w:val="24"/>
        </w:rPr>
        <w:t>14</w:t>
      </w:r>
      <w:r w:rsidRPr="001B2988">
        <w:rPr>
          <w:rFonts w:eastAsia="Calibri"/>
          <w:szCs w:val="24"/>
        </w:rPr>
        <w:t xml:space="preserve">. </w:t>
      </w:r>
      <w:r w:rsidRPr="001B2988">
        <w:t>Darbo grupės spr</w:t>
      </w:r>
      <w:r w:rsidRPr="001B2988">
        <w:t>endimu gali būti skelbiamas pakartotinis  Paraiškų teikimo konkursas, jeigu po Paraiškų vertinimo lieka nepanaudotų Programoms įgyvendinti savivaldybės biudžeto lėšų.</w:t>
      </w:r>
    </w:p>
    <w:p w:rsidR="0078476E" w:rsidRPr="001B2988" w:rsidRDefault="001B2988">
      <w:pPr>
        <w:ind w:firstLine="851"/>
        <w:jc w:val="both"/>
        <w:rPr>
          <w:rFonts w:eastAsia="Calibri"/>
          <w:szCs w:val="24"/>
        </w:rPr>
      </w:pPr>
      <w:r w:rsidRPr="001B2988">
        <w:rPr>
          <w:rFonts w:eastAsia="Calibri"/>
          <w:bCs/>
          <w:szCs w:val="24"/>
        </w:rPr>
        <w:t>15</w:t>
      </w:r>
      <w:r w:rsidRPr="001B2988">
        <w:rPr>
          <w:rFonts w:eastAsia="Calibri"/>
          <w:bCs/>
          <w:szCs w:val="24"/>
        </w:rPr>
        <w:t>.</w:t>
      </w:r>
      <w:r w:rsidRPr="001B2988">
        <w:rPr>
          <w:rFonts w:eastAsia="Calibri"/>
          <w:szCs w:val="24"/>
        </w:rPr>
        <w:t xml:space="preserve"> Finansuojamų Programų sąrašas patvirtinamas Savivaldybės mero potvarkiu.</w:t>
      </w:r>
    </w:p>
    <w:p w:rsidR="0078476E" w:rsidRPr="001B2988" w:rsidRDefault="001B2988">
      <w:pPr>
        <w:ind w:firstLine="851"/>
        <w:jc w:val="both"/>
        <w:rPr>
          <w:rFonts w:eastAsia="Calibri"/>
        </w:rPr>
      </w:pPr>
      <w:r w:rsidRPr="001B2988">
        <w:rPr>
          <w:rFonts w:eastAsia="Calibri"/>
          <w:szCs w:val="24"/>
        </w:rPr>
        <w:t>16</w:t>
      </w:r>
      <w:r w:rsidRPr="001B2988">
        <w:rPr>
          <w:rFonts w:eastAsia="Calibri"/>
          <w:szCs w:val="24"/>
        </w:rPr>
        <w:t xml:space="preserve">. </w:t>
      </w:r>
      <w:r w:rsidRPr="001B2988">
        <w:rPr>
          <w:rFonts w:eastAsia="Calibri"/>
          <w:szCs w:val="24"/>
          <w:lang w:eastAsia="ar-SA"/>
        </w:rPr>
        <w:t>Su atrinktų Programų teikėjais Savivaldybės administracijos vardu Savivaldybės administracijos direktorius sudaro savivaldybės biudžeto lėšų panaudojimo sutartis.</w:t>
      </w:r>
      <w:r w:rsidRPr="001B2988">
        <w:t xml:space="preserve"> Sutarties pavyzdinę formą tvirtina Savivaldybės meras.</w:t>
      </w:r>
    </w:p>
    <w:p w:rsidR="0078476E" w:rsidRPr="001B2988" w:rsidRDefault="001B2988">
      <w:pPr>
        <w:ind w:firstLine="851"/>
        <w:jc w:val="both"/>
      </w:pPr>
      <w:r w:rsidRPr="001B2988">
        <w:rPr>
          <w:rFonts w:eastAsia="Calibri"/>
          <w:szCs w:val="24"/>
        </w:rPr>
        <w:t>17</w:t>
      </w:r>
      <w:r w:rsidRPr="001B2988">
        <w:rPr>
          <w:rFonts w:eastAsia="Calibri"/>
          <w:szCs w:val="24"/>
        </w:rPr>
        <w:t>. Savivaldybės administracija, s</w:t>
      </w:r>
      <w:r w:rsidRPr="001B2988">
        <w:rPr>
          <w:rFonts w:eastAsia="Calibri"/>
          <w:szCs w:val="24"/>
        </w:rPr>
        <w:t xml:space="preserve">iekdama užtikrinti veiklos viešumą ir skaidrumą, informaciją apie atrinktus Programų teikėjus (juridinio asmens pavadinimas arba fizinio asmens vardas ir pavardė) skelbia Savivaldybės interneto svetainėje </w:t>
      </w:r>
      <w:r w:rsidRPr="001B2988">
        <w:rPr>
          <w:rFonts w:eastAsia="Calibri"/>
          <w:szCs w:val="24"/>
          <w:u w:val="single"/>
        </w:rPr>
        <w:t>www.siauliai.lt</w:t>
      </w:r>
      <w:r w:rsidRPr="001B2988">
        <w:rPr>
          <w:rFonts w:eastAsia="Calibri"/>
          <w:szCs w:val="24"/>
        </w:rPr>
        <w:t xml:space="preserve"> 1 (vienus) metus nuo informacijos p</w:t>
      </w:r>
      <w:r w:rsidRPr="001B2988">
        <w:rPr>
          <w:rFonts w:eastAsia="Calibri"/>
          <w:szCs w:val="24"/>
        </w:rPr>
        <w:t xml:space="preserve">askelbimo dienos. Informacija apie atrinktus Programų tiekėjus perduodama Šiaulių švietimo kompetencijų centrui, kuris savivaldybės teritorijoje informuoja </w:t>
      </w:r>
      <w:r w:rsidRPr="001B2988">
        <w:rPr>
          <w:szCs w:val="24"/>
        </w:rPr>
        <w:t>visuomenę apie neformalųjį suaugusiųjų švietimą ir tęstinį mokymąsi ir konsultuoja šiais klausimais</w:t>
      </w:r>
      <w:r w:rsidRPr="001B2988">
        <w:rPr>
          <w:rFonts w:eastAsia="Calibri"/>
          <w:szCs w:val="24"/>
        </w:rPr>
        <w:t>.</w:t>
      </w:r>
    </w:p>
    <w:p w:rsidR="0078476E" w:rsidRPr="001B2988" w:rsidRDefault="001B2988">
      <w:pPr>
        <w:ind w:firstLine="851"/>
        <w:jc w:val="both"/>
      </w:pPr>
      <w:r w:rsidRPr="001B2988">
        <w:rPr>
          <w:rFonts w:eastAsia="Calibri"/>
          <w:szCs w:val="24"/>
        </w:rPr>
        <w:t>18</w:t>
      </w:r>
      <w:r w:rsidRPr="001B2988">
        <w:rPr>
          <w:rFonts w:eastAsia="Calibri"/>
          <w:szCs w:val="24"/>
        </w:rPr>
        <w:t>. Aktualią ir naujausią informaciją apie vykdomą Programą Programos teikėjai turi skelbti visuomenės informavimo priemonėse, kaip tai numatyta Neformaliojo suaugusiųjų švietimo ir tęstinio mokymosi įstatyme.</w:t>
      </w:r>
    </w:p>
    <w:p w:rsidR="0078476E" w:rsidRPr="001B2988" w:rsidRDefault="001B2988"/>
    <w:p w:rsidR="0078476E" w:rsidRDefault="001B2988">
      <w:pPr>
        <w:jc w:val="center"/>
        <w:rPr>
          <w:rFonts w:eastAsia="Calibri"/>
          <w:b/>
          <w:szCs w:val="24"/>
        </w:rPr>
      </w:pPr>
      <w:r>
        <w:rPr>
          <w:rFonts w:eastAsia="Calibri"/>
          <w:b/>
          <w:szCs w:val="24"/>
        </w:rPr>
        <w:t>III</w:t>
      </w:r>
      <w:r>
        <w:rPr>
          <w:rFonts w:eastAsia="Calibri"/>
          <w:b/>
          <w:szCs w:val="24"/>
        </w:rPr>
        <w:t xml:space="preserve"> SKYRIUS</w:t>
      </w:r>
    </w:p>
    <w:p w:rsidR="0078476E" w:rsidRDefault="001B2988">
      <w:pPr>
        <w:jc w:val="center"/>
        <w:rPr>
          <w:rFonts w:eastAsia="Calibri"/>
          <w:b/>
          <w:szCs w:val="24"/>
        </w:rPr>
      </w:pPr>
      <w:r>
        <w:rPr>
          <w:rFonts w:eastAsia="Calibri"/>
          <w:b/>
          <w:szCs w:val="24"/>
        </w:rPr>
        <w:t>PROGRAMŲ FINANSAVIMAS</w:t>
      </w:r>
    </w:p>
    <w:p w:rsidR="0078476E" w:rsidRDefault="0078476E">
      <w:pPr>
        <w:jc w:val="center"/>
        <w:rPr>
          <w:rFonts w:eastAsia="Calibri"/>
          <w:b/>
          <w:szCs w:val="24"/>
        </w:rPr>
      </w:pPr>
    </w:p>
    <w:p w:rsidR="0078476E" w:rsidRDefault="001B2988">
      <w:pPr>
        <w:ind w:firstLine="851"/>
        <w:jc w:val="both"/>
        <w:rPr>
          <w:rFonts w:eastAsia="Calibri"/>
          <w:szCs w:val="24"/>
        </w:rPr>
      </w:pPr>
      <w:r>
        <w:rPr>
          <w:rFonts w:eastAsia="Calibri"/>
          <w:szCs w:val="24"/>
        </w:rPr>
        <w:t>19</w:t>
      </w:r>
      <w:r>
        <w:rPr>
          <w:rFonts w:eastAsia="Calibri"/>
          <w:szCs w:val="24"/>
        </w:rPr>
        <w:t>. Formuojant metinį savivaldybės biudžetą, Savivaldybės meras, atsižvelgdamas į Savivaldybės finansines galimybes, ankstesnių metų faktinį lėšų panaudojimą, Programų efektyvumą ir kokybę, siūlo Savivaldybės tarybai numatyti lėšas Programoms finansuo</w:t>
      </w:r>
      <w:r>
        <w:rPr>
          <w:rFonts w:eastAsia="Calibri"/>
          <w:szCs w:val="24"/>
        </w:rPr>
        <w:t>ti.</w:t>
      </w:r>
    </w:p>
    <w:p w:rsidR="0078476E" w:rsidRDefault="001B2988">
      <w:pPr>
        <w:ind w:firstLine="851"/>
        <w:jc w:val="both"/>
        <w:rPr>
          <w:rFonts w:eastAsia="Calibri"/>
          <w:szCs w:val="24"/>
        </w:rPr>
      </w:pPr>
      <w:r>
        <w:rPr>
          <w:rFonts w:eastAsia="Calibri"/>
          <w:szCs w:val="24"/>
        </w:rPr>
        <w:t>20</w:t>
      </w:r>
      <w:r>
        <w:rPr>
          <w:rFonts w:eastAsia="Calibri"/>
          <w:szCs w:val="24"/>
        </w:rPr>
        <w:t xml:space="preserve">. Savivaldybės tarybai paskyrus lėšas Programoms, Savivaldybės administracijos Švietimo skyrius skelbia Programų atrankos konkursą. </w:t>
      </w:r>
    </w:p>
    <w:p w:rsidR="0078476E" w:rsidRDefault="001B2988">
      <w:pPr>
        <w:ind w:firstLine="851"/>
        <w:jc w:val="both"/>
        <w:rPr>
          <w:szCs w:val="24"/>
          <w:lang w:eastAsia="lt-LT"/>
        </w:rPr>
      </w:pPr>
      <w:r>
        <w:rPr>
          <w:rFonts w:eastAsia="Calibri"/>
          <w:szCs w:val="24"/>
        </w:rPr>
        <w:t>21</w:t>
      </w:r>
      <w:r>
        <w:rPr>
          <w:rFonts w:eastAsia="Calibri"/>
          <w:szCs w:val="24"/>
        </w:rPr>
        <w:t xml:space="preserve">. </w:t>
      </w:r>
      <w:r>
        <w:rPr>
          <w:szCs w:val="24"/>
          <w:lang w:eastAsia="lt-LT"/>
        </w:rPr>
        <w:t>Tinkamomis Programos teikėjo išlaidomis pripažįstamos tik tokios lėšos, kurios atitinka Švietimo įstatymo</w:t>
      </w:r>
      <w:r>
        <w:rPr>
          <w:szCs w:val="24"/>
          <w:lang w:eastAsia="lt-LT"/>
        </w:rPr>
        <w:t xml:space="preserve"> nustatytas m</w:t>
      </w:r>
      <w:r>
        <w:rPr>
          <w:bCs/>
          <w:szCs w:val="24"/>
          <w:lang w:eastAsia="lt-LT"/>
        </w:rPr>
        <w:t>okymo lėšas</w:t>
      </w:r>
      <w:r>
        <w:rPr>
          <w:szCs w:val="24"/>
          <w:lang w:eastAsia="lt-LT"/>
        </w:rPr>
        <w:t>, t. y. tiesiogiai švietimo procesui organizuoti būtinas lėšas.</w:t>
      </w:r>
    </w:p>
    <w:p w:rsidR="0078476E" w:rsidRDefault="001B2988">
      <w:pPr>
        <w:jc w:val="both"/>
        <w:rPr>
          <w:szCs w:val="24"/>
          <w:lang w:eastAsia="lt-LT"/>
        </w:rPr>
      </w:pPr>
    </w:p>
    <w:p w:rsidR="0078476E" w:rsidRDefault="001B2988">
      <w:pPr>
        <w:jc w:val="center"/>
        <w:rPr>
          <w:rFonts w:eastAsia="Calibri"/>
          <w:b/>
          <w:szCs w:val="24"/>
        </w:rPr>
      </w:pPr>
      <w:r>
        <w:rPr>
          <w:rFonts w:eastAsia="Calibri"/>
          <w:b/>
          <w:szCs w:val="24"/>
        </w:rPr>
        <w:t>IV</w:t>
      </w:r>
      <w:r>
        <w:rPr>
          <w:rFonts w:eastAsia="Calibri"/>
          <w:b/>
          <w:szCs w:val="24"/>
        </w:rPr>
        <w:t xml:space="preserve"> SKYRIUS</w:t>
      </w:r>
    </w:p>
    <w:p w:rsidR="0078476E" w:rsidRDefault="001B2988">
      <w:pPr>
        <w:jc w:val="center"/>
        <w:rPr>
          <w:rFonts w:eastAsia="Calibri"/>
          <w:b/>
          <w:szCs w:val="24"/>
        </w:rPr>
      </w:pPr>
      <w:r>
        <w:rPr>
          <w:rFonts w:eastAsia="Calibri"/>
          <w:b/>
          <w:szCs w:val="24"/>
        </w:rPr>
        <w:t xml:space="preserve">BAIGIAMOSIOS NUOSTATOS </w:t>
      </w:r>
    </w:p>
    <w:p w:rsidR="0078476E" w:rsidRDefault="0078476E">
      <w:pPr>
        <w:jc w:val="center"/>
        <w:rPr>
          <w:rFonts w:eastAsia="Calibri"/>
          <w:b/>
          <w:szCs w:val="24"/>
        </w:rPr>
      </w:pPr>
    </w:p>
    <w:p w:rsidR="0078476E" w:rsidRDefault="001B2988">
      <w:pPr>
        <w:ind w:firstLine="851"/>
        <w:jc w:val="both"/>
        <w:rPr>
          <w:rFonts w:eastAsia="Calibri"/>
          <w:szCs w:val="24"/>
        </w:rPr>
      </w:pPr>
      <w:r>
        <w:rPr>
          <w:rFonts w:eastAsia="Calibri"/>
          <w:bCs/>
          <w:szCs w:val="24"/>
        </w:rPr>
        <w:t>22</w:t>
      </w:r>
      <w:r>
        <w:rPr>
          <w:rFonts w:eastAsia="Calibri"/>
          <w:bCs/>
          <w:szCs w:val="24"/>
        </w:rPr>
        <w:t>.</w:t>
      </w:r>
      <w:r>
        <w:rPr>
          <w:rFonts w:eastAsia="Calibri"/>
          <w:szCs w:val="24"/>
        </w:rPr>
        <w:t xml:space="preserve"> Vykdomų Programų kokybė turi atitikti Neformaliojo suaugusiųjų švietimo ir tęstinio mokymosi įstatymo 10 straipsnio n</w:t>
      </w:r>
      <w:r>
        <w:rPr>
          <w:rFonts w:eastAsia="Calibri"/>
          <w:szCs w:val="24"/>
        </w:rPr>
        <w:t>uostatas.</w:t>
      </w:r>
    </w:p>
    <w:p w:rsidR="0078476E" w:rsidRDefault="001B2988">
      <w:pPr>
        <w:ind w:firstLine="851"/>
        <w:jc w:val="both"/>
        <w:rPr>
          <w:rFonts w:eastAsia="Calibri"/>
          <w:szCs w:val="24"/>
        </w:rPr>
      </w:pPr>
      <w:r>
        <w:rPr>
          <w:rFonts w:eastAsia="Calibri"/>
          <w:szCs w:val="24"/>
        </w:rPr>
        <w:t>23</w:t>
      </w:r>
      <w:r>
        <w:rPr>
          <w:rFonts w:eastAsia="Calibri"/>
          <w:szCs w:val="24"/>
        </w:rPr>
        <w:t xml:space="preserve">. Programoms finansuoti gali būti naudojamos savivaldybės biudžeto ir kitos lėšos teisės aktų nustatyta tvarka. </w:t>
      </w:r>
    </w:p>
    <w:p w:rsidR="0078476E" w:rsidRDefault="001B2988">
      <w:pPr>
        <w:ind w:firstLine="851"/>
        <w:jc w:val="both"/>
        <w:rPr>
          <w:rFonts w:eastAsia="Calibri"/>
          <w:szCs w:val="24"/>
        </w:rPr>
      </w:pPr>
      <w:r>
        <w:rPr>
          <w:rFonts w:eastAsia="Calibri"/>
          <w:bCs/>
          <w:szCs w:val="24"/>
        </w:rPr>
        <w:t>24</w:t>
      </w:r>
      <w:r>
        <w:rPr>
          <w:rFonts w:eastAsia="Calibri"/>
          <w:bCs/>
          <w:szCs w:val="24"/>
        </w:rPr>
        <w:t>.</w:t>
      </w:r>
      <w:r>
        <w:rPr>
          <w:rFonts w:eastAsia="Calibri"/>
          <w:szCs w:val="24"/>
        </w:rPr>
        <w:t xml:space="preserve"> </w:t>
      </w:r>
      <w:r>
        <w:rPr>
          <w:szCs w:val="24"/>
          <w:lang w:eastAsia="lt-LT"/>
        </w:rPr>
        <w:t>Programos teikėjas užtikrina Programos vykdymo kokybę ir skirtų lėšų naudojimą pagal tikslinę paskirtį. Ne pagal paskir</w:t>
      </w:r>
      <w:r>
        <w:rPr>
          <w:szCs w:val="24"/>
          <w:lang w:eastAsia="lt-LT"/>
        </w:rPr>
        <w:t xml:space="preserve">tį panaudotos lėšos privalo būti grąžinamos į savivaldybės biudžetą. </w:t>
      </w:r>
    </w:p>
    <w:p w:rsidR="0078476E" w:rsidRDefault="001B2988">
      <w:pPr>
        <w:ind w:firstLine="851"/>
        <w:jc w:val="both"/>
        <w:rPr>
          <w:rFonts w:eastAsia="Calibri"/>
          <w:szCs w:val="24"/>
        </w:rPr>
      </w:pPr>
      <w:r>
        <w:rPr>
          <w:rFonts w:eastAsia="Calibri"/>
          <w:bCs/>
          <w:szCs w:val="24"/>
        </w:rPr>
        <w:t>25</w:t>
      </w:r>
      <w:r>
        <w:rPr>
          <w:rFonts w:eastAsia="Calibri"/>
          <w:bCs/>
          <w:szCs w:val="24"/>
        </w:rPr>
        <w:t>.</w:t>
      </w:r>
      <w:r>
        <w:rPr>
          <w:rFonts w:eastAsia="Calibri"/>
          <w:szCs w:val="24"/>
        </w:rPr>
        <w:t xml:space="preserve"> Programų įgyvendinimo finansinę priežiūrą ir kontrolę vykdo Savivaldybės administracija.</w:t>
      </w:r>
    </w:p>
    <w:p w:rsidR="0078476E" w:rsidRDefault="001B2988">
      <w:pPr>
        <w:ind w:firstLine="851"/>
        <w:jc w:val="both"/>
      </w:pPr>
      <w:r>
        <w:t>26</w:t>
      </w:r>
      <w:r>
        <w:t>. Savivaldybės administracija ir Programos teikėjas, asmens duomenis tvarko vadovau</w:t>
      </w:r>
      <w:r>
        <w:t xml:space="preserve">damiesi 2016 m. balandžio 27 d. Europos Parlamento ir Tarybos reglamentu </w:t>
      </w:r>
      <w:hyperlink r:id="rId15" w:tgtFrame="_blank" w:history="1">
        <w:r>
          <w:rPr>
            <w:color w:val="0563C1" w:themeColor="hyperlink"/>
            <w:u w:val="single"/>
          </w:rPr>
          <w:t>(ES) 2016/679</w:t>
        </w:r>
      </w:hyperlink>
      <w:r>
        <w:t xml:space="preserve"> dėl fizinių asmenų apsaugos tvarkant asmens duomenis ir dėl laisvo t</w:t>
      </w:r>
      <w:r>
        <w:t xml:space="preserve">okių duomenų judėjimo ir kuriuo panaikinama Direktyva </w:t>
      </w:r>
      <w:hyperlink r:id="rId16" w:tgtFrame="_blank" w:history="1">
        <w:r>
          <w:rPr>
            <w:color w:val="0563C1" w:themeColor="hyperlink"/>
            <w:u w:val="single"/>
          </w:rPr>
          <w:t>95/46/EB</w:t>
        </w:r>
      </w:hyperlink>
      <w:r>
        <w:t xml:space="preserve"> (Bendrasis duomenų apsaugos reglamentas), Lietuvos Respublikos asmens duomenų teisinės apsaugos įstatymu ir kitais teisės aktais, reglamentuojančiais asmens duomenų tvarkymą. Asmens duomenys trečiosioms šalims gali būti teikiami tik įstatymų ir kitų teisė</w:t>
      </w:r>
      <w:r>
        <w:t>s aktų nustatytais atvejais ir tvarka bei laikantis Bendrojo duomenų apsaugos reglamento reikalavimų</w:t>
      </w:r>
    </w:p>
    <w:p w:rsidR="0078476E" w:rsidRDefault="001B2988">
      <w:pPr>
        <w:ind w:firstLine="851"/>
        <w:jc w:val="both"/>
      </w:pPr>
      <w:r>
        <w:t>27</w:t>
      </w:r>
      <w:r>
        <w:t>. Dokumentai, kuriuose yra asmens duomenys, tvarkomi ir saugomi vadovaujantis Dokumentų tvarkymo ir apskaitos taisyklėmis, patvirtintomis Lietuvos vy</w:t>
      </w:r>
      <w:r>
        <w:t xml:space="preserve">riausiojo archyvaro 2011 m. liepos 4 d. įsakymu Nr. V-118 „Dėl Dokumentų tvarkymo ir apskaitos taisyklių patvirtinimo“. Pasibaigus saugojimo terminui, dokumentai, kuriuose yra asmens duomenų, sunaikinami, išskyrus tuos, kurie įstatymų ar kitų teisės aktų, </w:t>
      </w:r>
      <w:r>
        <w:t>reglamentuojančių duomenų saugojimą, nustatytais atvejais turi būti perduoti saugoti pagal Lietuvos Respublikos dokumentų ir archyvų įstatymą, jo įgyvendinamuosius ir kitus teisės aktus, reglamentuojančius tokių dokumentų saugojimą.</w:t>
      </w:r>
    </w:p>
    <w:p w:rsidR="0078476E" w:rsidRDefault="001B2988"/>
    <w:bookmarkStart w:id="0" w:name="_GoBack" w:displacedByCustomXml="prev"/>
    <w:p w:rsidR="0078476E" w:rsidRDefault="001B2988">
      <w:pPr>
        <w:jc w:val="center"/>
        <w:rPr>
          <w:szCs w:val="24"/>
        </w:rPr>
      </w:pPr>
      <w:r>
        <w:rPr>
          <w:rFonts w:eastAsia="Calibri"/>
          <w:szCs w:val="24"/>
        </w:rPr>
        <w:t>_________________________</w:t>
      </w:r>
    </w:p>
    <w:p w:rsidR="0078476E" w:rsidRDefault="001B2988">
      <w:pPr>
        <w:tabs>
          <w:tab w:val="left" w:pos="7797"/>
        </w:tabs>
        <w:rPr>
          <w:szCs w:val="24"/>
        </w:rPr>
      </w:pPr>
    </w:p>
    <w:bookmarkEnd w:id="0" w:displacedByCustomXml="next"/>
    <w:sectPr w:rsidR="0078476E">
      <w:pgSz w:w="11906" w:h="16838"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6E" w:rsidRDefault="001B2988">
      <w:pPr>
        <w:rPr>
          <w:szCs w:val="24"/>
        </w:rPr>
      </w:pPr>
      <w:r>
        <w:rPr>
          <w:szCs w:val="24"/>
        </w:rPr>
        <w:separator/>
      </w:r>
    </w:p>
  </w:endnote>
  <w:endnote w:type="continuationSeparator" w:id="0">
    <w:p w:rsidR="0078476E" w:rsidRDefault="001B2988">
      <w:pPr>
        <w:rPr>
          <w:szCs w:val="24"/>
        </w:rPr>
      </w:pPr>
      <w:r>
        <w:rPr>
          <w:szCs w:val="24"/>
        </w:rPr>
        <w:continuationSeparator/>
      </w:r>
    </w:p>
  </w:endnote>
  <w:endnote w:type="continuationNotice" w:id="1">
    <w:p w:rsidR="0078476E" w:rsidRDefault="0078476E">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78476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78476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78476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6E" w:rsidRDefault="001B2988">
      <w:pPr>
        <w:rPr>
          <w:szCs w:val="24"/>
        </w:rPr>
      </w:pPr>
      <w:r>
        <w:rPr>
          <w:szCs w:val="24"/>
        </w:rPr>
        <w:separator/>
      </w:r>
    </w:p>
  </w:footnote>
  <w:footnote w:type="continuationSeparator" w:id="0">
    <w:p w:rsidR="0078476E" w:rsidRDefault="001B2988">
      <w:pPr>
        <w:rPr>
          <w:szCs w:val="24"/>
        </w:rPr>
      </w:pPr>
      <w:r>
        <w:rPr>
          <w:szCs w:val="24"/>
        </w:rPr>
        <w:continuationSeparator/>
      </w:r>
    </w:p>
  </w:footnote>
  <w:footnote w:type="continuationNotice" w:id="1">
    <w:p w:rsidR="0078476E" w:rsidRDefault="0078476E">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78476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1B2988">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6E" w:rsidRDefault="0078476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E2"/>
    <w:rsid w:val="001B2988"/>
    <w:rsid w:val="003025E2"/>
    <w:rsid w:val="0078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555CB"/>
  <w15:chartTrackingRefBased/>
  <w15:docId w15:val="{388AF3A0-F5B2-404E-8169-E452BFDF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B29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9731">
      <w:bodyDiv w:val="1"/>
      <w:marLeft w:val="0"/>
      <w:marRight w:val="0"/>
      <w:marTop w:val="0"/>
      <w:marBottom w:val="0"/>
      <w:divBdr>
        <w:top w:val="none" w:sz="0" w:space="0" w:color="auto"/>
        <w:left w:val="none" w:sz="0" w:space="0" w:color="auto"/>
        <w:bottom w:val="none" w:sz="0" w:space="0" w:color="auto"/>
        <w:right w:val="none" w:sz="0" w:space="0" w:color="auto"/>
      </w:divBdr>
    </w:div>
    <w:div w:id="426656580">
      <w:bodyDiv w:val="1"/>
      <w:marLeft w:val="0"/>
      <w:marRight w:val="0"/>
      <w:marTop w:val="0"/>
      <w:marBottom w:val="0"/>
      <w:divBdr>
        <w:top w:val="none" w:sz="0" w:space="0" w:color="auto"/>
        <w:left w:val="none" w:sz="0" w:space="0" w:color="auto"/>
        <w:bottom w:val="none" w:sz="0" w:space="0" w:color="auto"/>
        <w:right w:val="none" w:sz="0" w:space="0" w:color="auto"/>
      </w:divBdr>
    </w:div>
    <w:div w:id="801658950">
      <w:bodyDiv w:val="1"/>
      <w:marLeft w:val="0"/>
      <w:marRight w:val="0"/>
      <w:marTop w:val="0"/>
      <w:marBottom w:val="0"/>
      <w:divBdr>
        <w:top w:val="none" w:sz="0" w:space="0" w:color="auto"/>
        <w:left w:val="none" w:sz="0" w:space="0" w:color="auto"/>
        <w:bottom w:val="none" w:sz="0" w:space="0" w:color="auto"/>
        <w:right w:val="none" w:sz="0" w:space="0" w:color="auto"/>
      </w:divBdr>
    </w:div>
    <w:div w:id="15176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eur-lex.europa.eu/legal-content/LIT/TXT/?uri=CELEX:32016R0679&amp;locale=lt"/>
  <Relationship Id="rId16" Type="http://schemas.openxmlformats.org/officeDocument/2006/relationships/hyperlink" TargetMode="External" Target="http://eur-lex.europa.eu/legal-content/LIT/TXT/?uri=CELEX:31995L0046&amp;locale=lt"/>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6907733C-661A-4818-B0B7-09822970BBCF}"/>
      </w:docPartPr>
      <w:docPartBody>
        <w:p w:rsidR="00000000" w:rsidRDefault="00D06DA8">
          <w:r w:rsidRPr="002B480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A8"/>
    <w:rsid w:val="00D06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06D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A61708E-4919-419B-B173-9B1DB569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8366</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MIESTO SAVIVALDYBĖS TARYBA</vt:lpstr>
      <vt:lpstr>ŠIAULIŲ MIESTO SAVIVALDYBĖS TARYBA</vt:lpstr>
    </vt:vector>
  </TitlesOfParts>
  <Company/>
  <LinksUpToDate>false</LinksUpToDate>
  <CharactersWithSpaces>9418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2025-12-12T14:39:00Z</dcterms:created>
  <dc:creator>Svietimo skyrius</dc:creator>
  <lastModifiedBy>JŪRĖNIENĖ Jolanta</lastModifiedBy>
  <lastPrinted>2012-02-02T13:31:00Z</lastPrinted>
  <dcterms:modified xsi:type="dcterms:W3CDTF">2025-12-12T14:43:00Z</dcterms:modified>
  <revision>3</revision>
  <dc:title>ŠIAULIŲ MIESTO SAVIVALDYBĖS TARYBA</dc:title>
</coreProperties>
</file>